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right"/>
        <w:outlineLvl w:val="1"/>
      </w:pPr>
      <w:r>
        <w:t xml:space="preserve">Форма 3</w:t>
      </w:r>
      <w:r/>
    </w:p>
    <w:p>
      <w:pPr>
        <w:pStyle w:val="621"/>
        <w:jc w:val="both"/>
      </w:pPr>
      <w:r/>
      <w:r/>
    </w:p>
    <w:p>
      <w:pPr>
        <w:pStyle w:val="621"/>
        <w:jc w:val="center"/>
      </w:pPr>
      <w:r/>
      <w:bookmarkStart w:id="0" w:name="P1369"/>
      <w:r/>
      <w:bookmarkEnd w:id="0"/>
      <w:r>
        <w:t xml:space="preserve">Информация</w:t>
      </w:r>
      <w:r/>
    </w:p>
    <w:p>
      <w:pPr>
        <w:pStyle w:val="621"/>
        <w:jc w:val="center"/>
      </w:pPr>
      <w:r>
        <w:t xml:space="preserve">об основных потребительских характеристиках регулируемых</w:t>
      </w:r>
      <w:r/>
    </w:p>
    <w:p>
      <w:pPr>
        <w:pStyle w:val="621"/>
        <w:jc w:val="center"/>
      </w:pPr>
      <w:r>
        <w:t xml:space="preserve">услуг и их </w:t>
      </w:r>
      <w:r>
        <w:t xml:space="preserve">соответствии</w:t>
      </w:r>
      <w:r>
        <w:t xml:space="preserve"> стандартам качества</w:t>
      </w:r>
      <w:r/>
    </w:p>
    <w:p>
      <w:pPr>
        <w:pStyle w:val="622"/>
        <w:jc w:val="center"/>
        <w:rPr>
          <w:rFonts w:ascii="Calibri" w:hAnsi="Calibri" w:cs="Calibri" w:eastAsiaTheme="minorEastAsia"/>
          <w:b/>
          <w:sz w:val="24"/>
          <w:szCs w:val="24"/>
          <w:u w:val="single"/>
        </w:rPr>
      </w:pPr>
      <w:r>
        <w:rPr>
          <w:rFonts w:ascii="Calibri" w:hAnsi="Calibri" w:cs="Calibri" w:eastAsiaTheme="minorEastAsia"/>
          <w:b/>
          <w:sz w:val="24"/>
          <w:szCs w:val="24"/>
          <w:u w:val="single"/>
        </w:rPr>
        <w:t xml:space="preserve">АО «Газпром газораспределение Оренбург»</w:t>
      </w:r>
      <w:r>
        <w:rPr>
          <w:rFonts w:ascii="Calibri" w:hAnsi="Calibri" w:cs="Calibri" w:eastAsiaTheme="minorEastAsia"/>
          <w:b/>
          <w:sz w:val="24"/>
          <w:szCs w:val="24"/>
          <w:u w:val="single"/>
        </w:rPr>
      </w:r>
    </w:p>
    <w:p>
      <w:pPr>
        <w:pStyle w:val="621"/>
        <w:jc w:val="center"/>
      </w:pPr>
      <w:r>
        <w:rPr>
          <w:sz w:val="20"/>
          <w:szCs w:val="20"/>
        </w:rPr>
        <w:t xml:space="preserve">(наименование субъекта естественной монополии)</w:t>
      </w:r>
      <w:r>
        <w:t xml:space="preserve"> </w:t>
      </w:r>
      <w:r/>
    </w:p>
    <w:p>
      <w:pPr>
        <w:pStyle w:val="621"/>
        <w:jc w:val="center"/>
      </w:pPr>
      <w:r>
        <w:t xml:space="preserve">за </w:t>
      </w:r>
      <w:r>
        <w:rPr>
          <w:b/>
        </w:rPr>
        <w:t xml:space="preserve">20</w:t>
      </w:r>
      <w:r>
        <w:rPr>
          <w:b/>
        </w:rPr>
        <w:t xml:space="preserve">25</w:t>
      </w:r>
      <w:r>
        <w:t xml:space="preserve"> год</w:t>
      </w:r>
      <w:r/>
    </w:p>
    <w:p>
      <w:pPr>
        <w:pStyle w:val="621"/>
        <w:jc w:val="center"/>
      </w:pPr>
      <w:r>
        <w:t xml:space="preserve">в сфере оказания услуг по транспортировке газа</w:t>
      </w:r>
      <w:r/>
    </w:p>
    <w:p>
      <w:pPr>
        <w:pStyle w:val="621"/>
        <w:jc w:val="center"/>
      </w:pPr>
      <w:r>
        <w:t xml:space="preserve">по газораспределительным сетям на территории</w:t>
      </w:r>
      <w:r/>
    </w:p>
    <w:p>
      <w:pPr>
        <w:pStyle w:val="621"/>
        <w:jc w:val="center"/>
      </w:pPr>
      <w:r>
        <w:rPr>
          <w:b/>
          <w:sz w:val="24"/>
          <w:szCs w:val="24"/>
          <w:u w:val="single"/>
        </w:rPr>
        <w:t xml:space="preserve">Оренбург</w:t>
      </w:r>
      <w:r>
        <w:rPr>
          <w:b/>
          <w:sz w:val="24"/>
          <w:szCs w:val="24"/>
          <w:u w:val="single"/>
        </w:rPr>
        <w:t xml:space="preserve">ской области</w:t>
      </w:r>
      <w:r/>
    </w:p>
    <w:p>
      <w:pPr>
        <w:pStyle w:val="621"/>
        <w:jc w:val="center"/>
      </w:pPr>
      <w:r>
        <w:t xml:space="preserve">(наименование субъекта Российской Федерации)</w:t>
      </w:r>
      <w:r/>
    </w:p>
    <w:p>
      <w:pPr>
        <w:pStyle w:val="621"/>
        <w:jc w:val="center"/>
      </w:pPr>
      <w:r>
        <w:t xml:space="preserve">в _____________________________________________________</w:t>
      </w:r>
      <w:r/>
    </w:p>
    <w:p>
      <w:pPr>
        <w:pStyle w:val="621"/>
        <w:jc w:val="center"/>
      </w:pPr>
      <w:r>
        <w:t xml:space="preserve">(наименование зоны обслуживания/обособленной системы)</w:t>
      </w:r>
      <w:r/>
    </w:p>
    <w:p>
      <w:pPr>
        <w:pStyle w:val="621"/>
        <w:jc w:val="both"/>
      </w:pPr>
      <w:r/>
      <w:r/>
    </w:p>
    <w:tbl>
      <w:tblPr>
        <w:tblW w:w="9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80"/>
        <w:gridCol w:w="1187"/>
        <w:gridCol w:w="1410"/>
        <w:gridCol w:w="1738"/>
        <w:gridCol w:w="2501"/>
      </w:tblGrid>
      <w:tr>
        <w:tblPrEx/>
        <w:trPr/>
        <w:tc>
          <w:tcPr>
            <w:tcW w:w="258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показателя</w:t>
            </w:r>
            <w:r/>
          </w:p>
        </w:tc>
        <w:tc>
          <w:tcPr>
            <w:tcW w:w="118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Значение планового показателя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Значение фактического показателя</w:t>
            </w:r>
            <w:r/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Место размещения сведений в информационно-коммуникационной сети "Интернет"</w:t>
            </w:r>
            <w:r/>
          </w:p>
        </w:tc>
        <w:tc>
          <w:tcPr>
            <w:tcW w:w="25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Реквизиты</w:t>
            </w:r>
            <w:r/>
          </w:p>
        </w:tc>
      </w:tr>
      <w:tr>
        <w:tblPrEx/>
        <w:trPr/>
        <w:tc>
          <w:tcPr>
            <w:tcW w:w="258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118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bookmarkStart w:id="1" w:name="P1389"/>
            <w:r/>
            <w:bookmarkEnd w:id="1"/>
            <w:r>
              <w:t xml:space="preserve">4</w:t>
            </w:r>
            <w:r/>
          </w:p>
        </w:tc>
        <w:tc>
          <w:tcPr>
            <w:tcW w:w="2501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bookmarkStart w:id="2" w:name="P1390"/>
            <w:r/>
            <w:bookmarkEnd w:id="2"/>
            <w:r>
              <w:t xml:space="preserve">5</w:t>
            </w:r>
            <w:r/>
          </w:p>
        </w:tc>
      </w:tr>
      <w:tr>
        <w:tblPrEx/>
        <w:trPr/>
        <w:tc>
          <w:tcPr>
            <w:tcW w:w="2580" w:type="dxa"/>
            <w:vAlign w:val="bottom"/>
            <w:textDirection w:val="lrTb"/>
            <w:noWrap w:val="false"/>
          </w:tcPr>
          <w:p>
            <w:pPr>
              <w:pStyle w:val="621"/>
            </w:pPr>
            <w:r>
              <w:t xml:space="preserve">Показатель надежности услуг по транспортировке газа по газораспределительным сетям (</w:t>
            </w:r>
            <w:r>
              <w:t xml:space="preserve">К</w:t>
            </w:r>
            <w:r>
              <w:rPr>
                <w:vertAlign w:val="subscript"/>
              </w:rPr>
              <w:t xml:space="preserve">над</w:t>
            </w:r>
            <w:r>
              <w:t xml:space="preserve">)</w:t>
            </w:r>
            <w:r/>
          </w:p>
        </w:tc>
        <w:tc>
          <w:tcPr>
            <w:tcW w:w="1187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21"/>
            </w:pPr>
            <w:r>
              <w:rPr>
                <w:sz w:val="20"/>
              </w:rPr>
              <w:t xml:space="preserve">https://oblgaz56.ru/raskrytie-informatsii/standarty/formy-ot-01-09-2023/inf-ob-osnov-potreb-harakter/</w:t>
            </w:r>
            <w:r/>
          </w:p>
        </w:tc>
        <w:tc>
          <w:tcPr>
            <w:tcW w:w="250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Юридический адрес: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460000, г. Оренбург, 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Краснознаменная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tbl>
            <w:tblPr>
              <w:tblW w:w="10138" w:type="dxa"/>
              <w:tblLayout w:type="fixed"/>
              <w:tblLook w:val="04A0" w:firstRow="1" w:lastRow="0" w:firstColumn="1" w:lastColumn="0" w:noHBand="0" w:noVBand="1"/>
            </w:tblPr>
            <w:tblGrid>
              <w:gridCol w:w="5069"/>
              <w:gridCol w:w="5069"/>
            </w:tblGrid>
            <w:tr>
              <w:tblPrEx/>
              <w:trPr/>
              <w:tc>
                <w:tcPr>
                  <w:tcW w:w="5069" w:type="dxa"/>
                  <w:textDirection w:val="lrTb"/>
                  <w:noWrap w:val="false"/>
                </w:tcPr>
                <w:p>
                  <w:pPr>
                    <w:ind w:left="-77"/>
                    <w:jc w:val="both"/>
                    <w:spacing w:after="0" w:line="228" w:lineRule="auto"/>
                    <w:widowControl w:val="off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Телефоны: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34-12-02,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ind w:left="-219"/>
                    <w:jc w:val="both"/>
                    <w:spacing w:after="0" w:line="228" w:lineRule="auto"/>
                    <w:widowControl w:val="off"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  34-13-13</w:t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5069" w:type="dxa"/>
                  <w:textDirection w:val="lrTb"/>
                  <w:noWrap w:val="false"/>
                </w:tcPr>
                <w:p>
                  <w:pPr>
                    <w:jc w:val="both"/>
                    <w:spacing w:after="0" w:line="228" w:lineRule="auto"/>
                    <w:widowControl w:val="off"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      Факс: </w:t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spacing w:after="0" w:line="228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Банковские реквизиты: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ИНН 5610010369,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КПП 561001001,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Р/счет 40702810500010004873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Центральный филиал 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«РОССИЯ»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осква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БИК  044525220,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анка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30101810145250000220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2580" w:type="dxa"/>
            <w:vAlign w:val="bottom"/>
            <w:textDirection w:val="lrTb"/>
            <w:noWrap w:val="false"/>
          </w:tcPr>
          <w:p>
            <w:pPr>
              <w:pStyle w:val="621"/>
            </w:pPr>
            <w:r>
              <w:t xml:space="preserve">Показатель качества услуг по транспортировке газа по газораспределительным сетям (</w:t>
            </w:r>
            <w:r>
              <w:t xml:space="preserve">К</w:t>
            </w:r>
            <w:r>
              <w:rPr>
                <w:vertAlign w:val="subscript"/>
              </w:rPr>
              <w:t xml:space="preserve">кач</w:t>
            </w:r>
            <w:r>
              <w:t xml:space="preserve">)</w:t>
            </w:r>
            <w:r/>
          </w:p>
        </w:tc>
        <w:tc>
          <w:tcPr>
            <w:tcW w:w="1187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21"/>
            </w:pPr>
            <w:r>
              <w:rPr>
                <w:sz w:val="20"/>
              </w:rPr>
              <w:t xml:space="preserve">https://oblgaz56.ru/raskrytie-informatsii/standarty/formy-ot-01-09-2023/inf-ob-osnov-potreb-harakter/</w:t>
            </w:r>
            <w:r/>
          </w:p>
        </w:tc>
        <w:tc>
          <w:tcPr>
            <w:tcW w:w="2501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2580" w:type="dxa"/>
            <w:vAlign w:val="bottom"/>
            <w:textDirection w:val="lrTb"/>
            <w:noWrap w:val="false"/>
          </w:tcPr>
          <w:p>
            <w:pPr>
              <w:pStyle w:val="621"/>
            </w:pPr>
            <w:r>
              <w:t xml:space="preserve">Обобщенный показатель надежности и качества оказываемых услуг (</w:t>
            </w:r>
            <w:r>
              <w:t xml:space="preserve">К</w:t>
            </w:r>
            <w:r>
              <w:rPr>
                <w:vertAlign w:val="subscript"/>
              </w:rPr>
              <w:t xml:space="preserve">об</w:t>
            </w:r>
            <w:r>
              <w:t xml:space="preserve">)</w:t>
            </w:r>
            <w:r/>
          </w:p>
        </w:tc>
        <w:tc>
          <w:tcPr>
            <w:tcW w:w="1187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21"/>
            </w:pPr>
            <w:r>
              <w:rPr>
                <w:sz w:val="20"/>
              </w:rPr>
              <w:t xml:space="preserve">https://oblgaz56.ru/raskrytie-informatsii/standarty/formy-ot-01-09-2023/inf-ob-osnov-potreb-harakter/</w:t>
            </w:r>
            <w:r/>
          </w:p>
        </w:tc>
        <w:tc>
          <w:tcPr>
            <w:tcW w:w="2501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2580" w:type="dxa"/>
            <w:textDirection w:val="lrTb"/>
            <w:noWrap w:val="false"/>
          </w:tcPr>
          <w:p>
            <w:pPr>
              <w:pStyle w:val="621"/>
            </w:pPr>
            <w:r>
              <w:t xml:space="preserve">Сведения о лицензии</w:t>
            </w:r>
            <w:r/>
          </w:p>
        </w:tc>
        <w:tc>
          <w:tcPr>
            <w:gridSpan w:val="3"/>
            <w:tcW w:w="4335" w:type="dxa"/>
            <w:textDirection w:val="lrTb"/>
            <w:noWrap w:val="false"/>
          </w:tcPr>
          <w:p>
            <w:pPr>
              <w:pStyle w:val="621"/>
            </w:pPr>
            <w:r/>
            <w:bookmarkStart w:id="3" w:name="_GoBack"/>
            <w:r>
              <w:t xml:space="preserve">Лицензия на </w:t>
            </w:r>
            <w:r>
              <w:t xml:space="preserve">осуществление деятельности «Э</w:t>
            </w:r>
            <w:r>
              <w:t xml:space="preserve">ксплуатаци</w:t>
            </w:r>
            <w:r>
              <w:t xml:space="preserve">я</w:t>
            </w:r>
            <w:r>
              <w:t xml:space="preserve"> взрывопожароопасных и химически опасных производственных объектов I, II, и III классов опасности</w:t>
            </w:r>
            <w:r>
              <w:t xml:space="preserve">» </w:t>
            </w:r>
            <w:r>
              <w:t xml:space="preserve"> </w:t>
            </w:r>
            <w:r>
              <w:t xml:space="preserve">№ ВХ-49-800828 от 20 декабря 2013г.</w:t>
            </w:r>
            <w:bookmarkEnd w:id="3"/>
            <w:r/>
            <w:r/>
          </w:p>
        </w:tc>
        <w:tc>
          <w:tcPr>
            <w:tcW w:w="2501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568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160" w:line="259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Шекунова</dc:creator>
  <cp:lastModifiedBy>o010501</cp:lastModifiedBy>
  <cp:revision>4</cp:revision>
  <dcterms:created xsi:type="dcterms:W3CDTF">2024-11-29T07:48:00Z</dcterms:created>
  <dcterms:modified xsi:type="dcterms:W3CDTF">2025-09-26T10:56:00Z</dcterms:modified>
</cp:coreProperties>
</file>